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0A3" w:rsidRPr="00B54668" w:rsidRDefault="008C60A3" w:rsidP="008C60A3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250"/>
        <w:gridCol w:w="2430"/>
        <w:gridCol w:w="23"/>
        <w:gridCol w:w="5737"/>
      </w:tblGrid>
      <w:tr w:rsidR="008C60A3" w:rsidRPr="00B54668" w:rsidTr="009C57C7">
        <w:trPr>
          <w:trHeight w:val="926"/>
        </w:trPr>
        <w:tc>
          <w:tcPr>
            <w:tcW w:w="225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C60A3" w:rsidRPr="00B54668" w:rsidRDefault="008C60A3" w:rsidP="009C57C7">
            <w:pPr>
              <w:spacing w:line="240" w:lineRule="auto"/>
              <w:contextualSpacing/>
              <w:jc w:val="center"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>Course unit</w:t>
            </w:r>
          </w:p>
          <w:p w:rsidR="008C60A3" w:rsidRPr="00B54668" w:rsidRDefault="008C60A3" w:rsidP="009C57C7">
            <w:pPr>
              <w:spacing w:line="240" w:lineRule="auto"/>
              <w:contextualSpacing/>
              <w:jc w:val="center"/>
              <w:rPr>
                <w:rFonts w:ascii="Candara" w:hAnsi="Candara"/>
                <w:b/>
                <w:sz w:val="32"/>
                <w:szCs w:val="32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24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C60A3" w:rsidRPr="00B54668" w:rsidRDefault="008C60A3" w:rsidP="009C57C7">
            <w:pPr>
              <w:suppressAutoHyphens w:val="0"/>
              <w:spacing w:after="200" w:line="240" w:lineRule="auto"/>
              <w:contextualSpacing/>
              <w:jc w:val="center"/>
              <w:rPr>
                <w:rFonts w:ascii="Candara" w:hAnsi="Candara"/>
                <w:b/>
                <w:color w:val="548DD4" w:themeColor="text2" w:themeTint="99"/>
                <w:sz w:val="32"/>
                <w:szCs w:val="32"/>
              </w:rPr>
            </w:pPr>
            <w:r>
              <w:rPr>
                <w:rFonts w:ascii="Candara" w:hAnsi="Candara"/>
                <w:b/>
                <w:noProof/>
                <w:color w:val="548DD4" w:themeColor="text2" w:themeTint="99"/>
                <w:sz w:val="32"/>
                <w:szCs w:val="32"/>
                <w:lang w:val="sr-Latn-RS" w:eastAsia="sr-Latn-RS"/>
              </w:rPr>
              <w:drawing>
                <wp:inline distT="0" distB="0" distL="0" distR="0">
                  <wp:extent cx="625006" cy="614457"/>
                  <wp:effectExtent l="19050" t="0" r="3644" b="0"/>
                  <wp:docPr id="5" name="Picture 0" descr="LOGOO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OO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5474" cy="6149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C60A3" w:rsidRPr="00B54668" w:rsidRDefault="00D125A5" w:rsidP="009C57C7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  <w:noProof/>
                <w:lang w:val="sr-Latn-RS" w:eastAsia="sr-Latn-R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166370</wp:posOffset>
                      </wp:positionH>
                      <wp:positionV relativeFrom="paragraph">
                        <wp:posOffset>55245</wp:posOffset>
                      </wp:positionV>
                      <wp:extent cx="3279140" cy="866140"/>
                      <wp:effectExtent l="0" t="0" r="0" b="0"/>
                      <wp:wrapNone/>
                      <wp:docPr id="2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79140" cy="866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C60A3" w:rsidRDefault="008C60A3" w:rsidP="008C60A3">
                                  <w:r w:rsidRPr="00783C57">
                                    <w:rPr>
                                      <w:noProof/>
                                      <w:lang w:val="sr-Latn-RS" w:eastAsia="sr-Latn-RS"/>
                                    </w:rPr>
                                    <w:drawing>
                                      <wp:inline distT="0" distB="0" distL="0" distR="0">
                                        <wp:extent cx="3002445" cy="524730"/>
                                        <wp:effectExtent l="19050" t="0" r="7455" b="0"/>
                                        <wp:docPr id="4" name="Picture 0" descr="logo_UNS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logo_UNS.png"/>
                                                <pic:cNvPicPr/>
                                              </pic:nvPicPr>
                                              <pic:blipFill>
                                                <a:blip r:embed="rId10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004574" cy="52510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margin-left:13.1pt;margin-top:4.35pt;width:258.2pt;height:6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+/3fgIAAA8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" stroked="f">
                      <v:textbox>
                        <w:txbxContent>
                          <w:p w:rsidR="008C60A3" w:rsidRDefault="008C60A3" w:rsidP="008C60A3">
                            <w:r w:rsidRPr="00783C57">
                              <w:rPr>
                                <w:noProof/>
                                <w:lang w:val="sr-Latn-RS" w:eastAsia="sr-Latn-RS"/>
                              </w:rPr>
                              <w:drawing>
                                <wp:inline distT="0" distB="0" distL="0" distR="0">
                                  <wp:extent cx="3002445" cy="524730"/>
                                  <wp:effectExtent l="19050" t="0" r="7455" b="0"/>
                                  <wp:docPr id="4" name="Picture 0" descr="logo_UNS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_UNS.png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04574" cy="52510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C60A3" w:rsidRPr="00B54668" w:rsidRDefault="008C60A3" w:rsidP="009C57C7">
            <w:pPr>
              <w:jc w:val="left"/>
              <w:rPr>
                <w:rFonts w:ascii="Candara" w:hAnsi="Candara"/>
              </w:rPr>
            </w:pPr>
          </w:p>
        </w:tc>
      </w:tr>
      <w:tr w:rsidR="008C60A3" w:rsidRPr="00B54668" w:rsidTr="009C57C7">
        <w:trPr>
          <w:trHeight w:val="754"/>
        </w:trPr>
        <w:tc>
          <w:tcPr>
            <w:tcW w:w="225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C60A3" w:rsidRPr="00B54668" w:rsidRDefault="008C60A3" w:rsidP="009C57C7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sz w:val="36"/>
                <w:szCs w:val="36"/>
              </w:rPr>
            </w:pPr>
          </w:p>
        </w:tc>
        <w:tc>
          <w:tcPr>
            <w:tcW w:w="24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C60A3" w:rsidRPr="00B54668" w:rsidRDefault="008C60A3" w:rsidP="009C57C7">
            <w:pPr>
              <w:spacing w:line="240" w:lineRule="auto"/>
              <w:contextualSpacing/>
              <w:jc w:val="center"/>
              <w:rPr>
                <w:rFonts w:ascii="Candara" w:hAnsi="Candara"/>
                <w:noProof/>
                <w:lang w:val="en-US" w:eastAsia="zh-TW"/>
              </w:rPr>
            </w:pPr>
            <w:r w:rsidRPr="00B54668">
              <w:rPr>
                <w:rFonts w:ascii="Candara" w:hAnsi="Candara"/>
                <w:b/>
                <w:color w:val="548DD4" w:themeColor="text2" w:themeTint="99"/>
                <w:sz w:val="32"/>
                <w:szCs w:val="32"/>
              </w:rPr>
              <w:t>Faculty</w:t>
            </w:r>
            <w:r>
              <w:rPr>
                <w:rFonts w:ascii="Candara" w:hAnsi="Candara"/>
                <w:b/>
                <w:color w:val="548DD4" w:themeColor="text2" w:themeTint="99"/>
                <w:sz w:val="32"/>
                <w:szCs w:val="32"/>
              </w:rPr>
              <w:t xml:space="preserve"> of Philosophy</w:t>
            </w:r>
          </w:p>
        </w:tc>
        <w:tc>
          <w:tcPr>
            <w:tcW w:w="573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C60A3" w:rsidRPr="00B54668" w:rsidRDefault="008C60A3" w:rsidP="009C57C7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</w:p>
        </w:tc>
      </w:tr>
      <w:tr w:rsidR="008C60A3" w:rsidRPr="00B54668" w:rsidTr="009C57C7">
        <w:trPr>
          <w:trHeight w:val="529"/>
        </w:trPr>
        <w:tc>
          <w:tcPr>
            <w:tcW w:w="10440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8C60A3" w:rsidRPr="00B54668" w:rsidRDefault="008C60A3" w:rsidP="009C57C7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C60A3" w:rsidRPr="00B54668" w:rsidTr="009C57C7">
        <w:trPr>
          <w:trHeight w:val="562"/>
        </w:trPr>
        <w:tc>
          <w:tcPr>
            <w:tcW w:w="4680" w:type="dxa"/>
            <w:gridSpan w:val="2"/>
            <w:shd w:val="clear" w:color="auto" w:fill="auto"/>
            <w:vAlign w:val="center"/>
          </w:tcPr>
          <w:p w:rsidR="008C60A3" w:rsidRPr="00B54668" w:rsidRDefault="008C60A3" w:rsidP="009C57C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Study program in which the course unit is offered</w:t>
            </w:r>
          </w:p>
        </w:tc>
        <w:tc>
          <w:tcPr>
            <w:tcW w:w="5760" w:type="dxa"/>
            <w:gridSpan w:val="2"/>
            <w:shd w:val="clear" w:color="auto" w:fill="auto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97"/>
            </w:tblGrid>
            <w:tr w:rsidR="008C60A3" w:rsidRPr="00E77A67" w:rsidTr="009C57C7">
              <w:trPr>
                <w:trHeight w:val="120"/>
              </w:trPr>
              <w:tc>
                <w:tcPr>
                  <w:tcW w:w="0" w:type="auto"/>
                </w:tcPr>
                <w:p w:rsidR="008C60A3" w:rsidRPr="00E77A67" w:rsidRDefault="008C60A3" w:rsidP="009C57C7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Filozofija</w:t>
                  </w:r>
                </w:p>
              </w:tc>
            </w:tr>
          </w:tbl>
          <w:p w:rsidR="008C60A3" w:rsidRPr="00B54668" w:rsidRDefault="008C60A3" w:rsidP="009C57C7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</w:p>
        </w:tc>
      </w:tr>
      <w:tr w:rsidR="008C60A3" w:rsidRPr="00B54668" w:rsidTr="009C57C7">
        <w:trPr>
          <w:trHeight w:val="562"/>
        </w:trPr>
        <w:tc>
          <w:tcPr>
            <w:tcW w:w="4680" w:type="dxa"/>
            <w:gridSpan w:val="2"/>
            <w:vAlign w:val="center"/>
          </w:tcPr>
          <w:p w:rsidR="008C60A3" w:rsidRPr="00B54668" w:rsidRDefault="008C60A3" w:rsidP="009C57C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Course unit title</w:t>
            </w:r>
          </w:p>
        </w:tc>
        <w:tc>
          <w:tcPr>
            <w:tcW w:w="5760" w:type="dxa"/>
            <w:gridSpan w:val="2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54"/>
            </w:tblGrid>
            <w:tr w:rsidR="008C60A3" w:rsidTr="009C57C7">
              <w:trPr>
                <w:trHeight w:val="99"/>
              </w:trPr>
              <w:tc>
                <w:tcPr>
                  <w:tcW w:w="0" w:type="auto"/>
                </w:tcPr>
                <w:p w:rsidR="008C60A3" w:rsidRDefault="008C60A3" w:rsidP="009C57C7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Helenska filozofija</w:t>
                  </w:r>
                </w:p>
              </w:tc>
            </w:tr>
          </w:tbl>
          <w:p w:rsidR="008C60A3" w:rsidRPr="00B54668" w:rsidRDefault="008C60A3" w:rsidP="009C57C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8C60A3" w:rsidRPr="00B54668" w:rsidTr="009C57C7">
        <w:trPr>
          <w:trHeight w:val="562"/>
        </w:trPr>
        <w:tc>
          <w:tcPr>
            <w:tcW w:w="4680" w:type="dxa"/>
            <w:gridSpan w:val="2"/>
            <w:vAlign w:val="center"/>
          </w:tcPr>
          <w:p w:rsidR="008C60A3" w:rsidRPr="00B54668" w:rsidRDefault="008C60A3" w:rsidP="009C57C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Course unit code</w:t>
            </w:r>
          </w:p>
        </w:tc>
        <w:tc>
          <w:tcPr>
            <w:tcW w:w="5760" w:type="dxa"/>
            <w:gridSpan w:val="2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40"/>
            </w:tblGrid>
            <w:tr w:rsidR="008C60A3" w:rsidTr="009C57C7">
              <w:trPr>
                <w:trHeight w:val="99"/>
              </w:trPr>
              <w:tc>
                <w:tcPr>
                  <w:tcW w:w="0" w:type="auto"/>
                </w:tcPr>
                <w:p w:rsidR="008C60A3" w:rsidRPr="003E2180" w:rsidRDefault="008C60A3" w:rsidP="009C57C7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15флфл001</w:t>
                  </w:r>
                </w:p>
              </w:tc>
            </w:tr>
          </w:tbl>
          <w:p w:rsidR="008C60A3" w:rsidRPr="00B54668" w:rsidRDefault="008C60A3" w:rsidP="009C57C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8C60A3" w:rsidRPr="00B54668" w:rsidTr="009C57C7">
        <w:trPr>
          <w:trHeight w:val="562"/>
        </w:trPr>
        <w:tc>
          <w:tcPr>
            <w:tcW w:w="4680" w:type="dxa"/>
            <w:gridSpan w:val="2"/>
            <w:vAlign w:val="center"/>
          </w:tcPr>
          <w:p w:rsidR="008C60A3" w:rsidRPr="00B54668" w:rsidRDefault="008C60A3" w:rsidP="009C57C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Type of course unit</w:t>
            </w:r>
            <w:r w:rsidRPr="00B54668">
              <w:rPr>
                <w:rStyle w:val="FootnoteReference"/>
                <w:rFonts w:ascii="Candara" w:hAnsi="Candara"/>
              </w:rPr>
              <w:footnoteReference w:id="1"/>
            </w:r>
          </w:p>
        </w:tc>
        <w:tc>
          <w:tcPr>
            <w:tcW w:w="5760" w:type="dxa"/>
            <w:gridSpan w:val="2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34"/>
            </w:tblGrid>
            <w:tr w:rsidR="008C60A3" w:rsidTr="009C57C7">
              <w:trPr>
                <w:trHeight w:val="99"/>
              </w:trPr>
              <w:tc>
                <w:tcPr>
                  <w:tcW w:w="0" w:type="auto"/>
                </w:tcPr>
                <w:p w:rsidR="008C60A3" w:rsidRPr="003E2180" w:rsidRDefault="008C60A3" w:rsidP="009C57C7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obavezan</w:t>
                  </w:r>
                </w:p>
              </w:tc>
            </w:tr>
          </w:tbl>
          <w:p w:rsidR="008C60A3" w:rsidRPr="00B54668" w:rsidRDefault="008C60A3" w:rsidP="009C57C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8C60A3" w:rsidRPr="00B54668" w:rsidTr="009C57C7">
        <w:trPr>
          <w:trHeight w:val="562"/>
        </w:trPr>
        <w:tc>
          <w:tcPr>
            <w:tcW w:w="4680" w:type="dxa"/>
            <w:gridSpan w:val="2"/>
            <w:vAlign w:val="center"/>
          </w:tcPr>
          <w:p w:rsidR="008C60A3" w:rsidRPr="00B54668" w:rsidRDefault="008C60A3" w:rsidP="009C57C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Level of course unit</w:t>
            </w:r>
            <w:r w:rsidRPr="00B54668">
              <w:rPr>
                <w:rStyle w:val="FootnoteReference"/>
                <w:rFonts w:ascii="Candara" w:hAnsi="Candara"/>
              </w:rPr>
              <w:footnoteReference w:id="2"/>
            </w:r>
          </w:p>
        </w:tc>
        <w:tc>
          <w:tcPr>
            <w:tcW w:w="5760" w:type="dxa"/>
            <w:gridSpan w:val="2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570"/>
            </w:tblGrid>
            <w:tr w:rsidR="008C60A3" w:rsidTr="009C57C7">
              <w:trPr>
                <w:trHeight w:val="99"/>
              </w:trPr>
              <w:tc>
                <w:tcPr>
                  <w:tcW w:w="0" w:type="auto"/>
                </w:tcPr>
                <w:p w:rsidR="008C60A3" w:rsidRDefault="008C60A3" w:rsidP="009C57C7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Osnovne akademske studije</w:t>
                  </w:r>
                </w:p>
              </w:tc>
            </w:tr>
          </w:tbl>
          <w:p w:rsidR="008C60A3" w:rsidRPr="00B54668" w:rsidRDefault="008C60A3" w:rsidP="009C57C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8C60A3" w:rsidRPr="00B54668" w:rsidTr="009C57C7">
        <w:trPr>
          <w:trHeight w:val="562"/>
        </w:trPr>
        <w:tc>
          <w:tcPr>
            <w:tcW w:w="4680" w:type="dxa"/>
            <w:gridSpan w:val="2"/>
            <w:vAlign w:val="center"/>
          </w:tcPr>
          <w:p w:rsidR="008C60A3" w:rsidRPr="00B54668" w:rsidRDefault="008C60A3" w:rsidP="009C57C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Field of Study (please see ISCED</w:t>
            </w:r>
            <w:r>
              <w:rPr>
                <w:rStyle w:val="FootnoteReference"/>
                <w:rFonts w:ascii="Candara" w:hAnsi="Candara"/>
              </w:rPr>
              <w:footnoteReference w:id="3"/>
            </w:r>
            <w:r>
              <w:rPr>
                <w:rFonts w:ascii="Candara" w:hAnsi="Candara"/>
              </w:rPr>
              <w:t>)</w:t>
            </w:r>
          </w:p>
        </w:tc>
        <w:tc>
          <w:tcPr>
            <w:tcW w:w="5760" w:type="dxa"/>
            <w:gridSpan w:val="2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83"/>
            </w:tblGrid>
            <w:tr w:rsidR="008C60A3" w:rsidTr="009C57C7">
              <w:trPr>
                <w:trHeight w:val="99"/>
              </w:trPr>
              <w:tc>
                <w:tcPr>
                  <w:tcW w:w="0" w:type="auto"/>
                </w:tcPr>
                <w:p w:rsidR="008C60A3" w:rsidRDefault="00D125A5" w:rsidP="009C57C7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D125A5">
                    <w:rPr>
                      <w:sz w:val="20"/>
                      <w:szCs w:val="20"/>
                    </w:rPr>
                    <w:t>0223 Philosophy and ethics</w:t>
                  </w:r>
                  <w:bookmarkStart w:id="0" w:name="_GoBack"/>
                  <w:bookmarkEnd w:id="0"/>
                </w:p>
              </w:tc>
            </w:tr>
          </w:tbl>
          <w:p w:rsidR="008C60A3" w:rsidRPr="00B54668" w:rsidRDefault="008C60A3" w:rsidP="009C57C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8C60A3" w:rsidRPr="00B54668" w:rsidTr="009C57C7">
        <w:trPr>
          <w:trHeight w:val="562"/>
        </w:trPr>
        <w:tc>
          <w:tcPr>
            <w:tcW w:w="4680" w:type="dxa"/>
            <w:gridSpan w:val="2"/>
            <w:vAlign w:val="center"/>
          </w:tcPr>
          <w:p w:rsidR="008C60A3" w:rsidRPr="00B54668" w:rsidRDefault="008C60A3" w:rsidP="009C57C7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>Semester when the course unit is</w:t>
            </w:r>
            <w:r w:rsidRPr="00B54668">
              <w:rPr>
                <w:rFonts w:ascii="Candara" w:hAnsi="Candara"/>
              </w:rPr>
              <w:t xml:space="preserve"> offered</w:t>
            </w:r>
          </w:p>
        </w:tc>
        <w:tc>
          <w:tcPr>
            <w:tcW w:w="5760" w:type="dxa"/>
            <w:gridSpan w:val="2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73"/>
            </w:tblGrid>
            <w:tr w:rsidR="008C60A3" w:rsidTr="009C57C7">
              <w:trPr>
                <w:trHeight w:val="99"/>
              </w:trPr>
              <w:tc>
                <w:tcPr>
                  <w:tcW w:w="0" w:type="auto"/>
                </w:tcPr>
                <w:p w:rsidR="008C60A3" w:rsidRDefault="008C60A3" w:rsidP="009C57C7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Zimski semestar</w:t>
                  </w:r>
                </w:p>
              </w:tc>
            </w:tr>
          </w:tbl>
          <w:p w:rsidR="008C60A3" w:rsidRPr="00B54668" w:rsidRDefault="008C60A3" w:rsidP="009C57C7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</w:p>
        </w:tc>
      </w:tr>
      <w:tr w:rsidR="008C60A3" w:rsidRPr="00B54668" w:rsidTr="009C57C7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8C60A3" w:rsidRPr="00B54668" w:rsidRDefault="008C60A3" w:rsidP="009C57C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Year of study (if applicable)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15"/>
            </w:tblGrid>
            <w:tr w:rsidR="008C60A3" w:rsidTr="009C57C7">
              <w:trPr>
                <w:trHeight w:val="99"/>
              </w:trPr>
              <w:tc>
                <w:tcPr>
                  <w:tcW w:w="0" w:type="auto"/>
                </w:tcPr>
                <w:p w:rsidR="008C60A3" w:rsidRDefault="008C60A3" w:rsidP="009C57C7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Prva godina</w:t>
                  </w:r>
                </w:p>
              </w:tc>
            </w:tr>
          </w:tbl>
          <w:p w:rsidR="008C60A3" w:rsidRPr="00B54668" w:rsidRDefault="008C60A3" w:rsidP="009C57C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8C60A3" w:rsidRPr="00B54668" w:rsidTr="009C57C7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8C60A3" w:rsidRPr="00B54668" w:rsidRDefault="008C60A3" w:rsidP="009C57C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52"/>
            </w:tblGrid>
            <w:tr w:rsidR="008C60A3" w:rsidTr="009C57C7">
              <w:trPr>
                <w:trHeight w:val="99"/>
              </w:trPr>
              <w:tc>
                <w:tcPr>
                  <w:tcW w:w="0" w:type="auto"/>
                </w:tcPr>
                <w:p w:rsidR="008C60A3" w:rsidRDefault="008C60A3" w:rsidP="009C57C7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 (deset)</w:t>
                  </w:r>
                </w:p>
              </w:tc>
            </w:tr>
          </w:tbl>
          <w:p w:rsidR="008C60A3" w:rsidRPr="00B54668" w:rsidRDefault="008C60A3" w:rsidP="009C57C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8C60A3" w:rsidRPr="00B54668" w:rsidTr="009C57C7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8C60A3" w:rsidRPr="00B54668" w:rsidRDefault="008C60A3" w:rsidP="009C57C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40"/>
            </w:tblGrid>
            <w:tr w:rsidR="008C60A3" w:rsidTr="009C57C7">
              <w:trPr>
                <w:trHeight w:val="99"/>
              </w:trPr>
              <w:tc>
                <w:tcPr>
                  <w:tcW w:w="0" w:type="auto"/>
                </w:tcPr>
                <w:p w:rsidR="008C60A3" w:rsidRDefault="008C60A3" w:rsidP="009C57C7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Prof. dr Željko Kaluđerović</w:t>
                  </w:r>
                </w:p>
              </w:tc>
            </w:tr>
          </w:tbl>
          <w:p w:rsidR="008C60A3" w:rsidRPr="00B54668" w:rsidRDefault="008C60A3" w:rsidP="009C57C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8C60A3" w:rsidRPr="00B54668" w:rsidTr="009C57C7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8C60A3" w:rsidRPr="00B54668" w:rsidRDefault="008C60A3" w:rsidP="009C57C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Name of contact person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58"/>
            </w:tblGrid>
            <w:tr w:rsidR="008C60A3" w:rsidTr="009C57C7">
              <w:trPr>
                <w:trHeight w:val="99"/>
              </w:trPr>
              <w:tc>
                <w:tcPr>
                  <w:tcW w:w="0" w:type="auto"/>
                </w:tcPr>
                <w:p w:rsidR="008C60A3" w:rsidRDefault="008C60A3" w:rsidP="009C57C7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Asistent Ana Miljević</w:t>
                  </w:r>
                </w:p>
              </w:tc>
            </w:tr>
          </w:tbl>
          <w:p w:rsidR="008C60A3" w:rsidRPr="00B54668" w:rsidRDefault="008C60A3" w:rsidP="009C57C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8C60A3" w:rsidRPr="00B54668" w:rsidTr="009C57C7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8C60A3" w:rsidRPr="00B54668" w:rsidRDefault="008C60A3" w:rsidP="009C57C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Mode of course unit delivery</w:t>
            </w:r>
            <w:r w:rsidRPr="00B54668">
              <w:rPr>
                <w:rStyle w:val="FootnoteReference"/>
                <w:rFonts w:ascii="Candara" w:hAnsi="Candara"/>
              </w:rPr>
              <w:footnoteReference w:id="4"/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939"/>
            </w:tblGrid>
            <w:tr w:rsidR="008C60A3" w:rsidTr="009C57C7">
              <w:trPr>
                <w:trHeight w:val="99"/>
              </w:trPr>
              <w:tc>
                <w:tcPr>
                  <w:tcW w:w="0" w:type="auto"/>
                </w:tcPr>
                <w:p w:rsidR="008C60A3" w:rsidRDefault="008C60A3" w:rsidP="009C57C7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Konsultativna nastava (usmeno)</w:t>
                  </w:r>
                </w:p>
              </w:tc>
            </w:tr>
          </w:tbl>
          <w:p w:rsidR="008C60A3" w:rsidRPr="00B54668" w:rsidRDefault="008C60A3" w:rsidP="009C57C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8C60A3" w:rsidRPr="00B54668" w:rsidTr="009C57C7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8C60A3" w:rsidRPr="00315601" w:rsidRDefault="008C60A3" w:rsidP="009C57C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Course unit pre-requisites</w:t>
            </w:r>
            <w:r>
              <w:rPr>
                <w:rFonts w:ascii="Candara" w:hAnsi="Candara"/>
              </w:rPr>
              <w:t xml:space="preserve"> (e.g. level of language required, etc)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252"/>
            </w:tblGrid>
            <w:tr w:rsidR="008C60A3" w:rsidTr="009C57C7">
              <w:trPr>
                <w:trHeight w:val="99"/>
              </w:trPr>
              <w:tc>
                <w:tcPr>
                  <w:tcW w:w="0" w:type="auto"/>
                </w:tcPr>
                <w:p w:rsidR="008C60A3" w:rsidRDefault="008C60A3" w:rsidP="009C57C7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Znanje srpskog, hrvatskog, bosanskog ili crnogorskog jezika</w:t>
                  </w:r>
                </w:p>
              </w:tc>
            </w:tr>
          </w:tbl>
          <w:p w:rsidR="008C60A3" w:rsidRPr="00B54668" w:rsidRDefault="008C60A3" w:rsidP="009C57C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8C60A3" w:rsidRPr="00B54668" w:rsidTr="009C57C7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8C60A3" w:rsidRPr="00B54668" w:rsidRDefault="008C60A3" w:rsidP="009C57C7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PURPOSE AND OVERVIEW (max 5-10 sentences)</w:t>
            </w:r>
          </w:p>
        </w:tc>
      </w:tr>
      <w:tr w:rsidR="008C60A3" w:rsidRPr="00B54668" w:rsidTr="009C57C7">
        <w:trPr>
          <w:trHeight w:val="562"/>
        </w:trPr>
        <w:tc>
          <w:tcPr>
            <w:tcW w:w="10440" w:type="dxa"/>
            <w:gridSpan w:val="4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224"/>
            </w:tblGrid>
            <w:tr w:rsidR="008C60A3" w:rsidTr="009C57C7">
              <w:trPr>
                <w:trHeight w:val="709"/>
              </w:trPr>
              <w:tc>
                <w:tcPr>
                  <w:tcW w:w="0" w:type="auto"/>
                </w:tcPr>
                <w:p w:rsidR="008C60A3" w:rsidRDefault="008C60A3" w:rsidP="009C57C7">
                  <w:pPr>
                    <w:pStyle w:val="Default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Cilj predmeta Helenska filozofija je upoznavanje studenata sa smislom ontološkog obrta u kome nastaje filozofija, kao i sa ključnim pojmovima i nosećim idejama grčkih filozofa, kako na generalnom nivou, tako i u pojedinačnim bitnim elaboracijama. Studiranje ovog predmeta treba da omogući i razumevanje uticaja helenske ffilozofske baštine na razvoj potonje filozofije, kao i jedne od vodećih duhovnih matrica cele zapadne civilizacije.</w:t>
                  </w:r>
                </w:p>
              </w:tc>
            </w:tr>
          </w:tbl>
          <w:p w:rsidR="008C60A3" w:rsidRPr="00E77A67" w:rsidRDefault="008C60A3" w:rsidP="009C57C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8C60A3" w:rsidRPr="00B54668" w:rsidTr="009C57C7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8C60A3" w:rsidRPr="00B54668" w:rsidRDefault="008C60A3" w:rsidP="009C57C7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LEARNING OUTCOMES</w:t>
            </w:r>
            <w:r>
              <w:rPr>
                <w:rFonts w:ascii="Candara" w:hAnsi="Candara"/>
                <w:b/>
              </w:rPr>
              <w:t xml:space="preserve"> (knowledge and skills)</w:t>
            </w:r>
          </w:p>
        </w:tc>
      </w:tr>
      <w:tr w:rsidR="008C60A3" w:rsidRPr="00B54668" w:rsidTr="009C57C7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8C60A3" w:rsidRPr="00B54668" w:rsidRDefault="008C60A3" w:rsidP="009C57C7">
            <w:pPr>
              <w:pStyle w:val="Default"/>
              <w:jc w:val="both"/>
              <w:rPr>
                <w:b/>
              </w:rPr>
            </w:pPr>
            <w:r>
              <w:rPr>
                <w:sz w:val="20"/>
                <w:szCs w:val="20"/>
              </w:rPr>
              <w:lastRenderedPageBreak/>
              <w:t>Osposobljavanje studenata da ovladaju osnovnim učenjima i pojmovima Helenske filozofije na sistematski i istorijski način. Studenti stiču veštine terminološkog komuniciranja sa antičkim nasleđem kao i uvid u posledice latinizacije klasičnih grčkih ideja i termina.</w:t>
            </w:r>
          </w:p>
        </w:tc>
      </w:tr>
      <w:tr w:rsidR="008C60A3" w:rsidRPr="00B54668" w:rsidTr="009C57C7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8C60A3" w:rsidRPr="00B54668" w:rsidRDefault="008C60A3" w:rsidP="009C57C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(outline and summary of topics)</w:t>
            </w:r>
          </w:p>
        </w:tc>
      </w:tr>
      <w:tr w:rsidR="008C60A3" w:rsidRPr="00B54668" w:rsidTr="009C57C7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8C60A3" w:rsidRDefault="008C60A3" w:rsidP="009C57C7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Teorijska nastava:</w:t>
            </w:r>
          </w:p>
          <w:p w:rsidR="008C60A3" w:rsidRDefault="008C60A3" w:rsidP="009C57C7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Izvori za proučavanje grčke filozofije; Mitologija i filozofija (Teogonija i kosmogonija; </w:t>
            </w:r>
            <w:r>
              <w:rPr>
                <w:i/>
                <w:sz w:val="20"/>
                <w:szCs w:val="20"/>
              </w:rPr>
              <w:t>Mithos</w:t>
            </w:r>
            <w:r>
              <w:rPr>
                <w:sz w:val="20"/>
                <w:szCs w:val="20"/>
              </w:rPr>
              <w:t xml:space="preserve"> i</w:t>
            </w:r>
            <w:r>
              <w:rPr>
                <w:i/>
                <w:sz w:val="20"/>
                <w:szCs w:val="20"/>
              </w:rPr>
              <w:t xml:space="preserve"> logos</w:t>
            </w:r>
            <w:r>
              <w:rPr>
                <w:sz w:val="20"/>
                <w:szCs w:val="20"/>
              </w:rPr>
              <w:t xml:space="preserve">; Istočnjačka mudrost i grčka </w:t>
            </w:r>
            <w:r>
              <w:rPr>
                <w:i/>
                <w:sz w:val="20"/>
                <w:szCs w:val="20"/>
              </w:rPr>
              <w:t>sophia</w:t>
            </w:r>
            <w:r>
              <w:rPr>
                <w:sz w:val="20"/>
                <w:szCs w:val="20"/>
              </w:rPr>
              <w:t xml:space="preserve">); Kultura </w:t>
            </w:r>
            <w:r w:rsidRPr="00083964">
              <w:rPr>
                <w:i/>
                <w:sz w:val="20"/>
                <w:szCs w:val="20"/>
              </w:rPr>
              <w:t>polisa</w:t>
            </w:r>
            <w:r>
              <w:rPr>
                <w:sz w:val="20"/>
                <w:szCs w:val="20"/>
              </w:rPr>
              <w:t>; Periodizacija grčke filozofije; Stvaranje filozofskog jezika; Sedmorica mudraca; „Fizičari“ iz Mileta; Pitagorejska škola; Heraklit; Elejska škola; Empedokle; Atomistička filozofija; Anaksagora; Sofistička filozofija (</w:t>
            </w:r>
            <w:r>
              <w:rPr>
                <w:i/>
                <w:sz w:val="20"/>
                <w:szCs w:val="20"/>
              </w:rPr>
              <w:t xml:space="preserve">Sophos </w:t>
            </w:r>
            <w:r>
              <w:rPr>
                <w:sz w:val="20"/>
                <w:szCs w:val="20"/>
              </w:rPr>
              <w:t xml:space="preserve">i </w:t>
            </w:r>
            <w:r>
              <w:rPr>
                <w:i/>
                <w:sz w:val="20"/>
                <w:szCs w:val="20"/>
              </w:rPr>
              <w:t>sophistes</w:t>
            </w:r>
            <w:r>
              <w:rPr>
                <w:sz w:val="20"/>
                <w:szCs w:val="20"/>
              </w:rPr>
              <w:t xml:space="preserve">; Suprotnost </w:t>
            </w:r>
            <w:r>
              <w:rPr>
                <w:i/>
                <w:sz w:val="20"/>
                <w:szCs w:val="20"/>
              </w:rPr>
              <w:t>physis-nomos</w:t>
            </w:r>
            <w:r>
              <w:rPr>
                <w:sz w:val="20"/>
                <w:szCs w:val="20"/>
              </w:rPr>
              <w:t>; Čovek kao mera); Sokrat (Ironija i definicija; Vrlina je znanje; Vrlina je jedna; Sokrat kao utemeljitelj morala i etike; Sokratske škole); Platon i Akademija (</w:t>
            </w:r>
            <w:r>
              <w:rPr>
                <w:i/>
                <w:sz w:val="20"/>
                <w:szCs w:val="20"/>
              </w:rPr>
              <w:t xml:space="preserve">Politeia </w:t>
            </w:r>
            <w:r>
              <w:rPr>
                <w:sz w:val="20"/>
                <w:szCs w:val="20"/>
              </w:rPr>
              <w:t xml:space="preserve">i </w:t>
            </w:r>
            <w:r>
              <w:rPr>
                <w:i/>
                <w:sz w:val="20"/>
                <w:szCs w:val="20"/>
              </w:rPr>
              <w:t>paideia</w:t>
            </w:r>
            <w:r>
              <w:rPr>
                <w:sz w:val="20"/>
                <w:szCs w:val="20"/>
              </w:rPr>
              <w:t>; Teorija ideja i alegorija pećine; Problem saznanja; Platonova psihologija; Platonova kosmologija; Kritika umetnosti; Stara Akademija)</w:t>
            </w:r>
          </w:p>
          <w:p w:rsidR="008C60A3" w:rsidRPr="00B54668" w:rsidRDefault="008C60A3" w:rsidP="009C57C7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</w:rPr>
            </w:pPr>
          </w:p>
        </w:tc>
      </w:tr>
      <w:tr w:rsidR="008C60A3" w:rsidRPr="00B54668" w:rsidTr="009C57C7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8C60A3" w:rsidRPr="00B54668" w:rsidRDefault="008C60A3" w:rsidP="009C57C7">
            <w:pPr>
              <w:spacing w:after="0"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  <w:b/>
              </w:rPr>
              <w:t>LEARNING AND TEACHING (</w:t>
            </w:r>
            <w:r w:rsidRPr="00B54668">
              <w:rPr>
                <w:rFonts w:ascii="Candara" w:hAnsi="Candara"/>
              </w:rPr>
              <w:t xml:space="preserve">planned learning activities and teaching methods) </w:t>
            </w:r>
          </w:p>
        </w:tc>
      </w:tr>
      <w:tr w:rsidR="008C60A3" w:rsidRPr="00B54668" w:rsidTr="009C57C7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8C60A3" w:rsidRPr="00B54668" w:rsidRDefault="008C60A3" w:rsidP="009C57C7">
            <w:pPr>
              <w:pStyle w:val="Default"/>
              <w:rPr>
                <w:b/>
              </w:rPr>
            </w:pPr>
            <w:r>
              <w:rPr>
                <w:sz w:val="20"/>
                <w:szCs w:val="20"/>
              </w:rPr>
              <w:t>Analiza tekstova, konsultacije, dijaloška metoda</w:t>
            </w:r>
          </w:p>
        </w:tc>
      </w:tr>
      <w:tr w:rsidR="008C60A3" w:rsidRPr="00B54668" w:rsidTr="009C57C7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8C60A3" w:rsidRPr="00B54668" w:rsidRDefault="008C60A3" w:rsidP="009C57C7">
            <w:pPr>
              <w:tabs>
                <w:tab w:val="left" w:pos="360"/>
              </w:tabs>
              <w:spacing w:after="0"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REQUIRED READING</w:t>
            </w:r>
          </w:p>
        </w:tc>
      </w:tr>
      <w:tr w:rsidR="008C60A3" w:rsidRPr="00B54668" w:rsidTr="009C57C7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8C60A3" w:rsidRPr="00840DD5" w:rsidRDefault="008C60A3" w:rsidP="009C57C7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Kaluđerović, Ž., </w:t>
            </w:r>
            <w:r w:rsidRPr="00511041">
              <w:rPr>
                <w:i/>
                <w:sz w:val="20"/>
                <w:szCs w:val="20"/>
              </w:rPr>
              <w:t>Rana grčka filozofija</w:t>
            </w:r>
            <w:r>
              <w:rPr>
                <w:sz w:val="20"/>
                <w:szCs w:val="20"/>
              </w:rPr>
              <w:t>, Hijatus, Zenica (Bosna i Hercegovina) 2017.</w:t>
            </w:r>
          </w:p>
          <w:p w:rsidR="008C60A3" w:rsidRPr="00840DD5" w:rsidRDefault="008C60A3" w:rsidP="009C57C7">
            <w:pPr>
              <w:pStyle w:val="Default"/>
              <w:jc w:val="both"/>
              <w:rPr>
                <w:sz w:val="20"/>
                <w:szCs w:val="20"/>
              </w:rPr>
            </w:pPr>
            <w:r w:rsidRPr="00840DD5">
              <w:rPr>
                <w:sz w:val="20"/>
                <w:szCs w:val="20"/>
              </w:rPr>
              <w:t xml:space="preserve">2. Eler, K., </w:t>
            </w:r>
            <w:r w:rsidRPr="00840DD5">
              <w:rPr>
                <w:i/>
                <w:sz w:val="20"/>
                <w:szCs w:val="20"/>
              </w:rPr>
              <w:t>Subjektivnost i samosvest u Antici</w:t>
            </w:r>
            <w:r>
              <w:rPr>
                <w:sz w:val="20"/>
                <w:szCs w:val="20"/>
              </w:rPr>
              <w:t>, ΠΛΑΤΩ, Beograd, 2002.</w:t>
            </w:r>
          </w:p>
          <w:p w:rsidR="008C60A3" w:rsidRPr="00840DD5" w:rsidRDefault="008C60A3" w:rsidP="009C57C7">
            <w:pPr>
              <w:pStyle w:val="Default"/>
              <w:jc w:val="both"/>
              <w:rPr>
                <w:sz w:val="20"/>
                <w:szCs w:val="20"/>
              </w:rPr>
            </w:pPr>
            <w:r w:rsidRPr="00840DD5">
              <w:rPr>
                <w:sz w:val="20"/>
                <w:szCs w:val="20"/>
              </w:rPr>
              <w:t xml:space="preserve">3. Cipra, M., </w:t>
            </w:r>
            <w:r w:rsidRPr="00840DD5">
              <w:rPr>
                <w:i/>
                <w:sz w:val="20"/>
                <w:szCs w:val="20"/>
              </w:rPr>
              <w:t>Metarmofoze metafizike</w:t>
            </w:r>
            <w:r w:rsidRPr="00840DD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Matica hrvatska, Zagreb, 1999.</w:t>
            </w:r>
          </w:p>
          <w:p w:rsidR="008C60A3" w:rsidRPr="00D125A5" w:rsidRDefault="008C60A3" w:rsidP="009C57C7">
            <w:pPr>
              <w:pStyle w:val="Default"/>
              <w:jc w:val="both"/>
              <w:rPr>
                <w:sz w:val="20"/>
                <w:szCs w:val="20"/>
                <w:lang w:val="de-DE"/>
              </w:rPr>
            </w:pPr>
            <w:r w:rsidRPr="00D125A5">
              <w:rPr>
                <w:sz w:val="20"/>
                <w:szCs w:val="20"/>
                <w:lang w:val="de-DE"/>
              </w:rPr>
              <w:t xml:space="preserve">4. Kremer, H., </w:t>
            </w:r>
            <w:r w:rsidRPr="00D125A5">
              <w:rPr>
                <w:i/>
                <w:sz w:val="20"/>
                <w:szCs w:val="20"/>
                <w:lang w:val="de-DE"/>
              </w:rPr>
              <w:t>Platonovo utemeljenje metafizike</w:t>
            </w:r>
            <w:r w:rsidRPr="00D125A5">
              <w:rPr>
                <w:sz w:val="20"/>
                <w:szCs w:val="20"/>
                <w:lang w:val="de-DE"/>
              </w:rPr>
              <w:t>, DEMETRA, Zagreb, 1997.</w:t>
            </w:r>
          </w:p>
          <w:p w:rsidR="008C60A3" w:rsidRPr="00840DD5" w:rsidRDefault="008C60A3" w:rsidP="009C57C7">
            <w:pPr>
              <w:pStyle w:val="Default"/>
              <w:jc w:val="both"/>
              <w:rPr>
                <w:sz w:val="20"/>
                <w:szCs w:val="20"/>
              </w:rPr>
            </w:pPr>
            <w:r w:rsidRPr="00840DD5">
              <w:rPr>
                <w:sz w:val="20"/>
                <w:szCs w:val="20"/>
              </w:rPr>
              <w:t xml:space="preserve">5. Žunjić, S., </w:t>
            </w:r>
            <w:r w:rsidRPr="00840DD5">
              <w:rPr>
                <w:i/>
                <w:sz w:val="20"/>
                <w:szCs w:val="20"/>
              </w:rPr>
              <w:t>Aristotel i henologija</w:t>
            </w:r>
            <w:r w:rsidRPr="00840DD5">
              <w:rPr>
                <w:sz w:val="20"/>
                <w:szCs w:val="20"/>
              </w:rPr>
              <w:t>, Pros</w:t>
            </w:r>
            <w:r>
              <w:rPr>
                <w:sz w:val="20"/>
                <w:szCs w:val="20"/>
              </w:rPr>
              <w:t>veta, Beograd, 1988.</w:t>
            </w:r>
          </w:p>
          <w:p w:rsidR="008C60A3" w:rsidRDefault="008C60A3" w:rsidP="009C57C7">
            <w:pPr>
              <w:pStyle w:val="Default"/>
              <w:jc w:val="both"/>
              <w:rPr>
                <w:sz w:val="20"/>
                <w:szCs w:val="20"/>
                <w:lang w:val="en-GB"/>
              </w:rPr>
            </w:pPr>
            <w:r w:rsidRPr="00840DD5">
              <w:rPr>
                <w:sz w:val="20"/>
                <w:szCs w:val="20"/>
                <w:lang w:val="en-GB"/>
              </w:rPr>
              <w:t xml:space="preserve">6. Barnes, J., </w:t>
            </w:r>
            <w:r w:rsidRPr="00840DD5">
              <w:rPr>
                <w:i/>
                <w:sz w:val="20"/>
                <w:szCs w:val="20"/>
                <w:lang w:val="en-GB"/>
              </w:rPr>
              <w:t>The Presocratic Philosophers I-II</w:t>
            </w:r>
            <w:r>
              <w:rPr>
                <w:sz w:val="20"/>
                <w:szCs w:val="20"/>
                <w:lang w:val="en-GB"/>
              </w:rPr>
              <w:t>, London and New York, 2005.</w:t>
            </w:r>
          </w:p>
          <w:p w:rsidR="008C60A3" w:rsidRPr="00840DD5" w:rsidRDefault="008C60A3" w:rsidP="009C57C7">
            <w:pPr>
              <w:pStyle w:val="Default"/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7. G</w:t>
            </w:r>
            <w:r w:rsidRPr="00840DD5">
              <w:rPr>
                <w:sz w:val="20"/>
                <w:szCs w:val="20"/>
                <w:lang w:val="en-GB"/>
              </w:rPr>
              <w:t xml:space="preserve">uthrie, W.K.C., </w:t>
            </w:r>
            <w:r w:rsidRPr="00840DD5">
              <w:rPr>
                <w:i/>
                <w:sz w:val="20"/>
                <w:szCs w:val="20"/>
                <w:lang w:val="en-GB"/>
              </w:rPr>
              <w:t>A History of Greek Philosophy I-VI</w:t>
            </w:r>
            <w:r w:rsidRPr="00840DD5">
              <w:rPr>
                <w:sz w:val="20"/>
                <w:szCs w:val="20"/>
                <w:lang w:val="en-GB"/>
              </w:rPr>
              <w:t>, Cambridge, 1962-1981.</w:t>
            </w:r>
          </w:p>
          <w:p w:rsidR="008C60A3" w:rsidRPr="00840DD5" w:rsidRDefault="008C60A3" w:rsidP="009C57C7">
            <w:pPr>
              <w:pStyle w:val="Default"/>
              <w:jc w:val="both"/>
              <w:rPr>
                <w:sz w:val="20"/>
                <w:szCs w:val="20"/>
                <w:lang w:val="en-GB"/>
              </w:rPr>
            </w:pPr>
            <w:r w:rsidRPr="00840DD5">
              <w:rPr>
                <w:sz w:val="20"/>
                <w:szCs w:val="20"/>
                <w:lang w:val="en-GB"/>
              </w:rPr>
              <w:t xml:space="preserve">8. Demos, R., The Philosophy of Plato, Cosmo Publications, 2011. </w:t>
            </w:r>
          </w:p>
          <w:p w:rsidR="008C60A3" w:rsidRPr="00840DD5" w:rsidRDefault="008C60A3" w:rsidP="009C57C7">
            <w:pPr>
              <w:pStyle w:val="Default"/>
              <w:jc w:val="both"/>
              <w:rPr>
                <w:sz w:val="20"/>
                <w:szCs w:val="20"/>
                <w:lang w:val="en-GB"/>
              </w:rPr>
            </w:pPr>
            <w:r w:rsidRPr="00840DD5">
              <w:rPr>
                <w:sz w:val="20"/>
                <w:szCs w:val="20"/>
                <w:lang w:val="en-GB"/>
              </w:rPr>
              <w:t xml:space="preserve">9. Vlastos, G., </w:t>
            </w:r>
            <w:r w:rsidRPr="00840DD5">
              <w:rPr>
                <w:i/>
                <w:sz w:val="20"/>
                <w:szCs w:val="20"/>
                <w:lang w:val="en-GB"/>
              </w:rPr>
              <w:t>Platonic Studies</w:t>
            </w:r>
            <w:r>
              <w:rPr>
                <w:sz w:val="20"/>
                <w:szCs w:val="20"/>
                <w:lang w:val="en-GB"/>
              </w:rPr>
              <w:t>, Princeton, 1981.</w:t>
            </w:r>
          </w:p>
          <w:p w:rsidR="008C60A3" w:rsidRPr="00D125A5" w:rsidRDefault="008C60A3" w:rsidP="009C57C7">
            <w:pPr>
              <w:pStyle w:val="Default"/>
              <w:jc w:val="both"/>
              <w:rPr>
                <w:sz w:val="20"/>
                <w:szCs w:val="20"/>
                <w:lang w:val="de-DE"/>
              </w:rPr>
            </w:pPr>
            <w:r w:rsidRPr="00D125A5">
              <w:rPr>
                <w:sz w:val="20"/>
                <w:szCs w:val="20"/>
                <w:lang w:val="de-DE"/>
              </w:rPr>
              <w:t xml:space="preserve">10. W. Jaeger, </w:t>
            </w:r>
            <w:r w:rsidRPr="00840DD5">
              <w:rPr>
                <w:i/>
                <w:sz w:val="20"/>
                <w:szCs w:val="20"/>
                <w:lang w:val="de-DE"/>
              </w:rPr>
              <w:t>Aristoteles Grundlegung einer Geschichte seiner Entwicklung</w:t>
            </w:r>
            <w:r w:rsidRPr="00D125A5">
              <w:rPr>
                <w:sz w:val="20"/>
                <w:szCs w:val="20"/>
                <w:lang w:val="de-DE"/>
              </w:rPr>
              <w:t>, Weidmann 1985.</w:t>
            </w:r>
          </w:p>
          <w:p w:rsidR="008C60A3" w:rsidRPr="00840DD5" w:rsidRDefault="008C60A3" w:rsidP="009C57C7">
            <w:pPr>
              <w:pStyle w:val="Default"/>
              <w:jc w:val="both"/>
              <w:rPr>
                <w:sz w:val="20"/>
                <w:szCs w:val="20"/>
                <w:lang w:val="en-GB"/>
              </w:rPr>
            </w:pPr>
            <w:r w:rsidRPr="00840DD5">
              <w:rPr>
                <w:sz w:val="20"/>
                <w:szCs w:val="20"/>
                <w:lang w:val="en-GB"/>
              </w:rPr>
              <w:t xml:space="preserve">11. G.E.R., Lloyd, </w:t>
            </w:r>
            <w:r w:rsidRPr="00840DD5">
              <w:rPr>
                <w:i/>
                <w:sz w:val="20"/>
                <w:szCs w:val="20"/>
                <w:lang w:val="en-GB"/>
              </w:rPr>
              <w:t>Aristotle: the Growth and Structure of his Thought</w:t>
            </w:r>
            <w:r>
              <w:rPr>
                <w:sz w:val="20"/>
                <w:szCs w:val="20"/>
                <w:lang w:val="en-GB"/>
              </w:rPr>
              <w:t>, Cambridge 1982.</w:t>
            </w:r>
          </w:p>
          <w:p w:rsidR="008C60A3" w:rsidRPr="00840DD5" w:rsidRDefault="008C60A3" w:rsidP="009C57C7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</w:rPr>
            </w:pPr>
            <w:r w:rsidRPr="00840DD5">
              <w:rPr>
                <w:rFonts w:ascii="Candara" w:hAnsi="Candara"/>
              </w:rPr>
              <w:t>12. Celokupn</w:t>
            </w:r>
            <w:r>
              <w:rPr>
                <w:rFonts w:ascii="Candara" w:hAnsi="Candara"/>
              </w:rPr>
              <w:t>a Platonova i Aristotelova dela</w:t>
            </w:r>
          </w:p>
        </w:tc>
      </w:tr>
      <w:tr w:rsidR="008C60A3" w:rsidRPr="00B54668" w:rsidTr="009C57C7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8C60A3" w:rsidRPr="00B54668" w:rsidRDefault="008C60A3" w:rsidP="009C57C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8C60A3" w:rsidRPr="00D125A5" w:rsidTr="009C57C7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8C60A3" w:rsidRPr="00D125A5" w:rsidRDefault="008C60A3" w:rsidP="009C57C7">
            <w:pPr>
              <w:pStyle w:val="Default"/>
              <w:rPr>
                <w:b/>
                <w:lang w:val="de-DE"/>
              </w:rPr>
            </w:pPr>
            <w:r w:rsidRPr="00D125A5">
              <w:rPr>
                <w:sz w:val="20"/>
                <w:szCs w:val="20"/>
                <w:lang w:val="de-DE"/>
              </w:rPr>
              <w:t>Aktivnost na predavanjima (20), seminarski rad (30), usmeni ispit (50).</w:t>
            </w:r>
          </w:p>
        </w:tc>
      </w:tr>
      <w:tr w:rsidR="008C60A3" w:rsidRPr="00B54668" w:rsidTr="009C57C7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8C60A3" w:rsidRDefault="008C60A3" w:rsidP="009C57C7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8C60A3" w:rsidRPr="00B54668" w:rsidTr="009C57C7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8C60A3" w:rsidRDefault="008C60A3" w:rsidP="009C57C7">
            <w:pPr>
              <w:pStyle w:val="Default"/>
              <w:rPr>
                <w:b/>
              </w:rPr>
            </w:pPr>
            <w:r>
              <w:rPr>
                <w:sz w:val="20"/>
                <w:szCs w:val="20"/>
              </w:rPr>
              <w:t>Srpski jezik</w:t>
            </w:r>
          </w:p>
        </w:tc>
      </w:tr>
    </w:tbl>
    <w:p w:rsidR="008C60A3" w:rsidRPr="00840DD5" w:rsidRDefault="008C60A3" w:rsidP="008C60A3">
      <w:pPr>
        <w:ind w:left="1089"/>
        <w:rPr>
          <w:sz w:val="2"/>
          <w:szCs w:val="2"/>
        </w:rPr>
      </w:pPr>
    </w:p>
    <w:p w:rsidR="00E60599" w:rsidRPr="008C60A3" w:rsidRDefault="00E60599" w:rsidP="008C60A3"/>
    <w:sectPr w:rsidR="00E60599" w:rsidRPr="008C60A3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48F" w:rsidRDefault="00EF048F" w:rsidP="00864926">
      <w:pPr>
        <w:spacing w:after="0" w:line="240" w:lineRule="auto"/>
      </w:pPr>
      <w:r>
        <w:separator/>
      </w:r>
    </w:p>
  </w:endnote>
  <w:endnote w:type="continuationSeparator" w:id="0">
    <w:p w:rsidR="00EF048F" w:rsidRDefault="00EF048F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48F" w:rsidRDefault="00EF048F" w:rsidP="00864926">
      <w:pPr>
        <w:spacing w:after="0" w:line="240" w:lineRule="auto"/>
      </w:pPr>
      <w:r>
        <w:separator/>
      </w:r>
    </w:p>
  </w:footnote>
  <w:footnote w:type="continuationSeparator" w:id="0">
    <w:p w:rsidR="00EF048F" w:rsidRDefault="00EF048F" w:rsidP="00864926">
      <w:pPr>
        <w:spacing w:after="0" w:line="240" w:lineRule="auto"/>
      </w:pPr>
      <w:r>
        <w:continuationSeparator/>
      </w:r>
    </w:p>
  </w:footnote>
  <w:footnote w:id="1">
    <w:p w:rsidR="008C60A3" w:rsidRPr="00E857F8" w:rsidRDefault="008C60A3" w:rsidP="008C60A3">
      <w:pPr>
        <w:pStyle w:val="FootnoteText"/>
        <w:rPr>
          <w:rFonts w:asciiTheme="minorHAnsi" w:hAnsiTheme="minorHAnsi"/>
          <w:sz w:val="18"/>
          <w:szCs w:val="18"/>
        </w:rPr>
      </w:pPr>
      <w:r w:rsidRPr="00E857F8">
        <w:rPr>
          <w:rStyle w:val="FootnoteReference"/>
          <w:rFonts w:asciiTheme="minorHAnsi" w:hAnsiTheme="minorHAnsi"/>
          <w:sz w:val="18"/>
          <w:szCs w:val="18"/>
        </w:rPr>
        <w:footnoteRef/>
      </w:r>
      <w:r w:rsidRPr="00E857F8">
        <w:rPr>
          <w:rFonts w:asciiTheme="minorHAnsi" w:hAnsiTheme="minorHAnsi"/>
          <w:sz w:val="18"/>
          <w:szCs w:val="18"/>
        </w:rPr>
        <w:t xml:space="preserve"> Compulsory, optional</w:t>
      </w:r>
    </w:p>
  </w:footnote>
  <w:footnote w:id="2">
    <w:p w:rsidR="008C60A3" w:rsidRPr="00E857F8" w:rsidRDefault="008C60A3" w:rsidP="008C60A3">
      <w:pPr>
        <w:pStyle w:val="FootnoteText"/>
        <w:rPr>
          <w:rFonts w:asciiTheme="minorHAnsi" w:hAnsiTheme="minorHAnsi"/>
          <w:sz w:val="18"/>
          <w:szCs w:val="18"/>
        </w:rPr>
      </w:pPr>
      <w:r w:rsidRPr="00E857F8">
        <w:rPr>
          <w:rStyle w:val="FootnoteReference"/>
          <w:rFonts w:asciiTheme="minorHAnsi" w:hAnsiTheme="minorHAnsi"/>
          <w:sz w:val="18"/>
          <w:szCs w:val="18"/>
        </w:rPr>
        <w:footnoteRef/>
      </w:r>
      <w:r w:rsidRPr="00E857F8">
        <w:rPr>
          <w:rFonts w:asciiTheme="minorHAnsi" w:hAnsiTheme="minorHAnsi"/>
          <w:sz w:val="18"/>
          <w:szCs w:val="18"/>
        </w:rPr>
        <w:t xml:space="preserve"> First, second or third cycle (Bachelor, Master's, Doctoral)</w:t>
      </w:r>
    </w:p>
  </w:footnote>
  <w:footnote w:id="3">
    <w:p w:rsidR="008C60A3" w:rsidRPr="00C60C45" w:rsidRDefault="008C60A3" w:rsidP="008C60A3">
      <w:pPr>
        <w:pStyle w:val="FootnoteText"/>
        <w:rPr>
          <w:sz w:val="16"/>
          <w:szCs w:val="16"/>
          <w:lang w:val="en-US"/>
        </w:rPr>
      </w:pPr>
      <w:r>
        <w:rPr>
          <w:rStyle w:val="FootnoteReference"/>
        </w:rPr>
        <w:footnoteRef/>
      </w:r>
      <w:r w:rsidRPr="00C60C45">
        <w:rPr>
          <w:rFonts w:asciiTheme="minorHAnsi" w:hAnsiTheme="minorHAnsi"/>
          <w:sz w:val="18"/>
          <w:szCs w:val="18"/>
        </w:rPr>
        <w:t>ISCED</w:t>
      </w:r>
      <w:r>
        <w:rPr>
          <w:rFonts w:asciiTheme="minorHAnsi" w:hAnsiTheme="minorHAnsi"/>
          <w:sz w:val="18"/>
          <w:szCs w:val="18"/>
        </w:rPr>
        <w:t xml:space="preserve">-F 2013 - </w:t>
      </w:r>
      <w:hyperlink r:id="rId1" w:history="1">
        <w:r w:rsidRPr="008841C3">
          <w:rPr>
            <w:rStyle w:val="Hyperlink"/>
            <w:rFonts w:asciiTheme="minorHAnsi" w:hAnsiTheme="minorHAnsi"/>
            <w:sz w:val="18"/>
            <w:szCs w:val="18"/>
          </w:rPr>
          <w:t>http://www.uis.unesco.org/Education/Documents/isced-f-detailed-field-descriptions-en.pdf</w:t>
        </w:r>
      </w:hyperlink>
      <w:r>
        <w:rPr>
          <w:rFonts w:asciiTheme="minorHAnsi" w:hAnsiTheme="minorHAnsi"/>
          <w:sz w:val="18"/>
          <w:szCs w:val="18"/>
        </w:rPr>
        <w:t xml:space="preserve"> (page 54)</w:t>
      </w:r>
    </w:p>
  </w:footnote>
  <w:footnote w:id="4">
    <w:p w:rsidR="008C60A3" w:rsidRPr="00E857F8" w:rsidRDefault="008C60A3" w:rsidP="008C60A3">
      <w:pPr>
        <w:pStyle w:val="FootnoteText"/>
        <w:rPr>
          <w:rFonts w:asciiTheme="minorHAnsi" w:hAnsiTheme="minorHAnsi"/>
          <w:sz w:val="18"/>
          <w:szCs w:val="18"/>
        </w:rPr>
      </w:pPr>
      <w:r w:rsidRPr="00E857F8">
        <w:rPr>
          <w:rStyle w:val="FootnoteReference"/>
          <w:rFonts w:asciiTheme="minorHAnsi" w:hAnsiTheme="minorHAnsi"/>
          <w:sz w:val="18"/>
          <w:szCs w:val="18"/>
        </w:rPr>
        <w:footnoteRef/>
      </w:r>
      <w:r>
        <w:rPr>
          <w:rFonts w:asciiTheme="minorHAnsi" w:hAnsiTheme="minorHAnsi"/>
          <w:sz w:val="18"/>
          <w:szCs w:val="18"/>
        </w:rPr>
        <w:t>Face-to-face, distance learning, etc.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106F162D"/>
    <w:multiLevelType w:val="hybridMultilevel"/>
    <w:tmpl w:val="81169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325A72"/>
    <w:multiLevelType w:val="hybridMultilevel"/>
    <w:tmpl w:val="0B0AD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17125"/>
    <w:rsid w:val="00046ACB"/>
    <w:rsid w:val="00082C56"/>
    <w:rsid w:val="000B1AF8"/>
    <w:rsid w:val="000F6001"/>
    <w:rsid w:val="0018100A"/>
    <w:rsid w:val="001D64D3"/>
    <w:rsid w:val="002146A5"/>
    <w:rsid w:val="002319B6"/>
    <w:rsid w:val="00261BDD"/>
    <w:rsid w:val="002B2F4F"/>
    <w:rsid w:val="002E1614"/>
    <w:rsid w:val="00315601"/>
    <w:rsid w:val="00323176"/>
    <w:rsid w:val="003A5E98"/>
    <w:rsid w:val="00431EFA"/>
    <w:rsid w:val="004D1C7E"/>
    <w:rsid w:val="005B0885"/>
    <w:rsid w:val="005E6CDC"/>
    <w:rsid w:val="005F60AD"/>
    <w:rsid w:val="006341E3"/>
    <w:rsid w:val="006F4330"/>
    <w:rsid w:val="00783C57"/>
    <w:rsid w:val="007A738F"/>
    <w:rsid w:val="007D2014"/>
    <w:rsid w:val="007E4571"/>
    <w:rsid w:val="00864926"/>
    <w:rsid w:val="008C60A3"/>
    <w:rsid w:val="00902E3F"/>
    <w:rsid w:val="00911529"/>
    <w:rsid w:val="009906EA"/>
    <w:rsid w:val="009B5BBF"/>
    <w:rsid w:val="009D3AC4"/>
    <w:rsid w:val="009D71D7"/>
    <w:rsid w:val="009E132C"/>
    <w:rsid w:val="00A00872"/>
    <w:rsid w:val="00A10286"/>
    <w:rsid w:val="00A11AAC"/>
    <w:rsid w:val="00A1335D"/>
    <w:rsid w:val="00A1578A"/>
    <w:rsid w:val="00A40B78"/>
    <w:rsid w:val="00AC1B88"/>
    <w:rsid w:val="00B54668"/>
    <w:rsid w:val="00B63C0F"/>
    <w:rsid w:val="00B66636"/>
    <w:rsid w:val="00B66AF4"/>
    <w:rsid w:val="00C60C45"/>
    <w:rsid w:val="00C62121"/>
    <w:rsid w:val="00C85365"/>
    <w:rsid w:val="00C90691"/>
    <w:rsid w:val="00C97923"/>
    <w:rsid w:val="00D125A5"/>
    <w:rsid w:val="00DB1906"/>
    <w:rsid w:val="00DB43CC"/>
    <w:rsid w:val="00E60599"/>
    <w:rsid w:val="00E71A0B"/>
    <w:rsid w:val="00E857F8"/>
    <w:rsid w:val="00EA0E91"/>
    <w:rsid w:val="00EC53EE"/>
    <w:rsid w:val="00EF048F"/>
    <w:rsid w:val="00F06AFA"/>
    <w:rsid w:val="00FE535D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60C4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E6CDC"/>
    <w:pPr>
      <w:ind w:left="720"/>
      <w:contextualSpacing/>
    </w:pPr>
  </w:style>
  <w:style w:type="paragraph" w:customStyle="1" w:styleId="Default">
    <w:name w:val="Default"/>
    <w:rsid w:val="008C60A3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60C4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E6CDC"/>
    <w:pPr>
      <w:ind w:left="720"/>
      <w:contextualSpacing/>
    </w:pPr>
  </w:style>
  <w:style w:type="paragraph" w:customStyle="1" w:styleId="Default">
    <w:name w:val="Default"/>
    <w:rsid w:val="008C60A3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4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is.unesco.org/Education/Documents/isced-f-detailed-field-descriptions-e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BF3BB4-0AFF-4CE8-9395-33746E9C2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Filozofski fakultet Novi Sad</Company>
  <LinksUpToDate>false</LinksUpToDate>
  <CharactersWithSpaces>3534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una</cp:lastModifiedBy>
  <cp:revision>2</cp:revision>
  <cp:lastPrinted>2015-12-23T11:47:00Z</cp:lastPrinted>
  <dcterms:created xsi:type="dcterms:W3CDTF">2018-06-13T12:02:00Z</dcterms:created>
  <dcterms:modified xsi:type="dcterms:W3CDTF">2018-06-13T12:02:00Z</dcterms:modified>
</cp:coreProperties>
</file>